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B10BD" w:rsidTr="003B10BD">
        <w:trPr>
          <w:jc w:val="center"/>
        </w:trPr>
        <w:tc>
          <w:tcPr>
            <w:tcW w:w="743" w:type="dxa"/>
            <w:hideMark/>
          </w:tcPr>
          <w:p w:rsidR="003B10BD" w:rsidRDefault="003B10BD">
            <w:pPr>
              <w:suppressLineNumbers/>
              <w:jc w:val="both"/>
              <w:rPr>
                <w:rFonts w:ascii="Arial" w:hAnsi="Arial"/>
                <w:b/>
                <w:bCs/>
              </w:rPr>
            </w:pPr>
            <w:r>
              <w:rPr>
                <w:rFonts w:ascii="Arial" w:hAnsi="Arial"/>
                <w:b/>
                <w:bCs/>
                <w:rtl/>
              </w:rPr>
              <w:t xml:space="preserve">לפני </w:t>
            </w:r>
          </w:p>
        </w:tc>
        <w:tc>
          <w:tcPr>
            <w:tcW w:w="8077" w:type="dxa"/>
            <w:gridSpan w:val="2"/>
          </w:tcPr>
          <w:p w:rsidR="003B10BD" w:rsidRDefault="003B10BD">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שופטת, סגנית הנשיא</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3B10BD" w:rsidRDefault="003B10BD">
            <w:pPr>
              <w:suppressLineNumbers/>
              <w:rPr>
                <w:rFonts w:ascii="Arial" w:hAnsi="Arial" w:cs="FrankRuehl"/>
                <w:sz w:val="28"/>
                <w:szCs w:val="28"/>
                <w:highlight w:val="yellow"/>
                <w:rtl/>
              </w:rPr>
            </w:pPr>
          </w:p>
        </w:tc>
      </w:tr>
      <w:tr w:rsidR="003B10BD" w:rsidTr="003B10BD">
        <w:trPr>
          <w:jc w:val="center"/>
        </w:trPr>
        <w:tc>
          <w:tcPr>
            <w:tcW w:w="3249" w:type="dxa"/>
            <w:gridSpan w:val="2"/>
            <w:hideMark/>
          </w:tcPr>
          <w:sdt>
            <w:sdtPr>
              <w:rPr>
                <w:b/>
                <w:bCs/>
                <w:rtl/>
              </w:rPr>
              <w:alias w:val="1180"/>
              <w:tag w:val="1180"/>
              <w:id w:val="637458750"/>
              <w:text w:multiLine="1"/>
            </w:sdtPr>
            <w:sdtEndPr/>
            <w:sdtContent>
              <w:p w:rsidR="003B10BD" w:rsidRDefault="003B10BD">
                <w:pPr>
                  <w:suppressLineNumbers/>
                  <w:rPr>
                    <w:rFonts w:ascii="Arial" w:hAnsi="Arial"/>
                    <w:b/>
                    <w:bCs/>
                    <w:noProof w:val="0"/>
                    <w:sz w:val="26"/>
                    <w:szCs w:val="26"/>
                  </w:rPr>
                </w:pPr>
                <w:r>
                  <w:rPr>
                    <w:rFonts w:ascii="Arial" w:hAnsi="Arial"/>
                    <w:b/>
                    <w:bCs/>
                    <w:noProof w:val="0"/>
                    <w:sz w:val="26"/>
                    <w:szCs w:val="26"/>
                    <w:rtl/>
                  </w:rPr>
                  <w:t>מבקש</w:t>
                </w:r>
                <w:r>
                  <w:rPr>
                    <w:b/>
                    <w:bCs/>
                    <w:rtl/>
                  </w:rPr>
                  <w:t>ת</w:t>
                </w:r>
              </w:p>
            </w:sdtContent>
          </w:sdt>
        </w:tc>
        <w:tc>
          <w:tcPr>
            <w:tcW w:w="5571" w:type="dxa"/>
            <w:hideMark/>
          </w:tcPr>
          <w:p w:rsidR="003B10BD" w:rsidRDefault="003D1CB8">
            <w:pPr>
              <w:suppressLineNumbers/>
              <w:rPr>
                <w:b/>
                <w:bCs/>
                <w:noProof w:val="0"/>
                <w:sz w:val="26"/>
                <w:szCs w:val="26"/>
                <w:rtl/>
              </w:rPr>
            </w:pPr>
            <w:r>
              <w:rPr>
                <w:rFonts w:ascii="Arial" w:hAnsi="Arial" w:hint="cs"/>
                <w:b/>
                <w:bCs/>
                <w:noProof w:val="0"/>
                <w:sz w:val="26"/>
                <w:szCs w:val="26"/>
                <w:rtl/>
              </w:rPr>
              <w:t>פלונית</w:t>
            </w:r>
          </w:p>
          <w:p w:rsidR="003B10BD" w:rsidRDefault="003B10BD">
            <w:pPr>
              <w:suppressLineNumbers/>
              <w:rPr>
                <w:b/>
                <w:bCs/>
                <w:noProof w:val="0"/>
                <w:sz w:val="26"/>
                <w:szCs w:val="26"/>
                <w:rtl/>
              </w:rPr>
            </w:pPr>
            <w:r>
              <w:rPr>
                <w:b/>
                <w:bCs/>
                <w:noProof w:val="0"/>
                <w:sz w:val="26"/>
                <w:szCs w:val="26"/>
                <w:rtl/>
              </w:rPr>
              <w:t>באמצעות ב"כ סופי כהן</w:t>
            </w:r>
          </w:p>
        </w:tc>
      </w:tr>
      <w:tr w:rsidR="003B10BD" w:rsidTr="003B10BD">
        <w:trPr>
          <w:jc w:val="center"/>
        </w:trPr>
        <w:tc>
          <w:tcPr>
            <w:tcW w:w="8820" w:type="dxa"/>
            <w:gridSpan w:val="3"/>
          </w:tcPr>
          <w:p w:rsidR="003B10BD" w:rsidRDefault="003B10BD">
            <w:pPr>
              <w:suppressLineNumbers/>
              <w:rPr>
                <w:rFonts w:ascii="Arial" w:hAnsi="Arial"/>
                <w:b/>
                <w:bCs/>
                <w:noProof w:val="0"/>
                <w:sz w:val="26"/>
                <w:szCs w:val="26"/>
                <w:rtl/>
              </w:rPr>
            </w:pPr>
          </w:p>
          <w:p w:rsidR="003B10BD" w:rsidRDefault="003B10BD">
            <w:pPr>
              <w:suppressLineNumbers/>
              <w:jc w:val="center"/>
              <w:rPr>
                <w:rFonts w:ascii="Arial" w:hAnsi="Arial"/>
                <w:b/>
                <w:bCs/>
                <w:noProof w:val="0"/>
                <w:sz w:val="26"/>
                <w:szCs w:val="26"/>
                <w:rtl/>
              </w:rPr>
            </w:pPr>
            <w:r>
              <w:rPr>
                <w:rFonts w:ascii="Arial" w:hAnsi="Arial"/>
                <w:b/>
                <w:bCs/>
                <w:noProof w:val="0"/>
                <w:sz w:val="26"/>
                <w:szCs w:val="26"/>
                <w:rtl/>
              </w:rPr>
              <w:t>נגד</w:t>
            </w:r>
          </w:p>
          <w:p w:rsidR="003B10BD" w:rsidRDefault="003B10BD">
            <w:pPr>
              <w:suppressLineNumbers/>
              <w:rPr>
                <w:rFonts w:ascii="Arial" w:hAnsi="Arial"/>
                <w:b/>
                <w:bCs/>
                <w:noProof w:val="0"/>
                <w:sz w:val="26"/>
                <w:szCs w:val="26"/>
                <w:rtl/>
              </w:rPr>
            </w:pPr>
          </w:p>
        </w:tc>
      </w:tr>
      <w:tr w:rsidR="003B10BD" w:rsidTr="003B10BD">
        <w:trPr>
          <w:jc w:val="center"/>
        </w:trPr>
        <w:tc>
          <w:tcPr>
            <w:tcW w:w="3249" w:type="dxa"/>
            <w:gridSpan w:val="2"/>
            <w:hideMark/>
          </w:tcPr>
          <w:p w:rsidR="003B10BD" w:rsidRDefault="00E37886">
            <w:pPr>
              <w:suppressLineNumbers/>
              <w:rPr>
                <w:rFonts w:ascii="Arial" w:hAnsi="Arial"/>
                <w:b/>
                <w:bCs/>
                <w:noProof w:val="0"/>
                <w:sz w:val="26"/>
                <w:szCs w:val="26"/>
              </w:rPr>
            </w:pPr>
            <w:sdt>
              <w:sdtPr>
                <w:rPr>
                  <w:rtl/>
                </w:rPr>
                <w:alias w:val="1184"/>
                <w:tag w:val="1184"/>
                <w:id w:val="-340621022"/>
                <w:text w:multiLine="1"/>
              </w:sdtPr>
              <w:sdtEndPr/>
              <w:sdtContent>
                <w:r w:rsidR="003B10BD">
                  <w:rPr>
                    <w:rFonts w:ascii="Arial" w:hAnsi="Arial"/>
                    <w:b/>
                    <w:bCs/>
                    <w:noProof w:val="0"/>
                    <w:sz w:val="26"/>
                    <w:szCs w:val="26"/>
                    <w:rtl/>
                  </w:rPr>
                  <w:t>משיב</w:t>
                </w:r>
              </w:sdtContent>
            </w:sdt>
          </w:p>
        </w:tc>
        <w:tc>
          <w:tcPr>
            <w:tcW w:w="5571" w:type="dxa"/>
          </w:tcPr>
          <w:p w:rsidR="003B10BD" w:rsidRPr="003D1CB8" w:rsidRDefault="003D1CB8">
            <w:pPr>
              <w:suppressLineNumbers/>
              <w:rPr>
                <w:rFonts w:ascii="Arial" w:hAnsi="Arial"/>
                <w:b/>
                <w:bCs/>
                <w:noProof w:val="0"/>
                <w:sz w:val="26"/>
                <w:szCs w:val="26"/>
              </w:rPr>
            </w:pPr>
            <w:r w:rsidRPr="003D1CB8">
              <w:rPr>
                <w:rFonts w:hint="cs"/>
                <w:b/>
                <w:bCs/>
                <w:rtl/>
              </w:rPr>
              <w:t>פלוני</w:t>
            </w:r>
          </w:p>
          <w:p w:rsidR="003B10BD" w:rsidRDefault="003B10BD">
            <w:pPr>
              <w:suppressLineNumbers/>
              <w:rPr>
                <w:rFonts w:ascii="Arial" w:hAnsi="Arial"/>
                <w:b/>
                <w:bCs/>
                <w:noProof w:val="0"/>
                <w:sz w:val="26"/>
                <w:szCs w:val="26"/>
                <w:rtl/>
              </w:rPr>
            </w:pPr>
            <w:r>
              <w:rPr>
                <w:rFonts w:ascii="Arial" w:hAnsi="Arial"/>
                <w:b/>
                <w:bCs/>
                <w:noProof w:val="0"/>
                <w:sz w:val="26"/>
                <w:szCs w:val="26"/>
                <w:rtl/>
              </w:rPr>
              <w:t>באמצעות ב"כ עו"ד מיטל אזולאי</w:t>
            </w:r>
          </w:p>
          <w:p w:rsidR="003B10BD" w:rsidRDefault="003B10BD">
            <w:pPr>
              <w:suppressLineNumbers/>
              <w:rPr>
                <w:b/>
                <w:bCs/>
                <w:noProof w:val="0"/>
                <w:sz w:val="26"/>
                <w:szCs w:val="26"/>
                <w:rtl/>
              </w:rPr>
            </w:pPr>
          </w:p>
        </w:tc>
      </w:tr>
      <w:tr w:rsidR="003B10BD" w:rsidTr="003B10BD">
        <w:trPr>
          <w:jc w:val="center"/>
        </w:trPr>
        <w:tc>
          <w:tcPr>
            <w:tcW w:w="8820" w:type="dxa"/>
            <w:gridSpan w:val="3"/>
          </w:tcPr>
          <w:p w:rsidR="003B10BD" w:rsidRDefault="003B10BD">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3B10BD" w:rsidRDefault="003B10BD">
            <w:pPr>
              <w:bidi w:val="0"/>
              <w:jc w:val="center"/>
              <w:rPr>
                <w:rFonts w:ascii="Arial" w:hAnsi="Arial"/>
                <w:b/>
                <w:bCs/>
                <w:noProof w:val="0"/>
                <w:sz w:val="28"/>
                <w:szCs w:val="28"/>
                <w:u w:val="single"/>
                <w:rtl/>
              </w:rPr>
            </w:pPr>
          </w:p>
        </w:tc>
      </w:tr>
    </w:tbl>
    <w:p w:rsidR="003B10BD" w:rsidRDefault="003B10BD" w:rsidP="003B10BD">
      <w:pPr>
        <w:spacing w:line="360" w:lineRule="auto"/>
        <w:ind w:left="720" w:hanging="720"/>
        <w:jc w:val="both"/>
        <w:rPr>
          <w:rFonts w:ascii="Arial" w:hAnsi="Arial"/>
          <w:b/>
          <w:bCs/>
          <w:noProof w:val="0"/>
        </w:rPr>
      </w:pPr>
      <w:bookmarkStart w:id="0" w:name="NGCSBookmark"/>
      <w:bookmarkEnd w:id="0"/>
      <w:r>
        <w:rPr>
          <w:rFonts w:ascii="Arial" w:hAnsi="Arial"/>
          <w:noProof w:val="0"/>
          <w:rtl/>
        </w:rPr>
        <w:t>1.</w:t>
      </w:r>
      <w:r>
        <w:rPr>
          <w:rFonts w:ascii="Arial" w:hAnsi="Arial"/>
          <w:noProof w:val="0"/>
          <w:rtl/>
        </w:rPr>
        <w:tab/>
        <w:t xml:space="preserve">המבקשת הגישה בקשה ליתן צו הגנה כנגד המשיב. הבקשה זהה בטיעוניה ונימוקיה לבקשה שהתבררה והוכרעה ע"י ביהמ"ש במהלך פגרת הקיץ, בתיק ה"ט 69553-08-24. בתמצית ייאמר כי </w:t>
      </w:r>
      <w:r>
        <w:rPr>
          <w:rFonts w:ascii="Arial" w:hAnsi="Arial"/>
          <w:b/>
          <w:bCs/>
          <w:noProof w:val="0"/>
          <w:rtl/>
        </w:rPr>
        <w:t>המבקשת טוענת כי המשיב מהווה סכנה לבנם המשותף של הצדדים ומבקשת למנוע קשר בין הבא לקטין.</w:t>
      </w:r>
    </w:p>
    <w:p w:rsidR="003B10BD" w:rsidRDefault="003B10BD" w:rsidP="003B10BD">
      <w:pPr>
        <w:spacing w:line="360" w:lineRule="auto"/>
        <w:ind w:left="720" w:hanging="720"/>
        <w:jc w:val="both"/>
        <w:rPr>
          <w:noProof w:val="0"/>
          <w:rtl/>
        </w:rPr>
      </w:pPr>
      <w:r>
        <w:rPr>
          <w:rtl/>
        </w:rPr>
        <w:t>2.</w:t>
      </w:r>
      <w:r>
        <w:rPr>
          <w:rtl/>
        </w:rPr>
        <w:tab/>
        <w:t xml:space="preserve">במהלך פגרת הקיץ דנה כב' השופטת התורנית דיאנה פסו ואגו, בבקשת אם הקטין לצו הגנה, על יסוד טענותיה ניתן צו במעמד צד אחד ולאחר שהוגש תסקיר, ונשמעו חקירות הצדדים, </w:t>
      </w:r>
      <w:r>
        <w:rPr>
          <w:b/>
          <w:bCs/>
          <w:u w:val="single"/>
          <w:rtl/>
        </w:rPr>
        <w:t>הורה ביהמ"ש על ביטול צו ההגנה שניתן במעמד צד אחד</w:t>
      </w:r>
      <w:r>
        <w:rPr>
          <w:rtl/>
        </w:rPr>
        <w:t xml:space="preserve">. </w:t>
      </w:r>
    </w:p>
    <w:p w:rsidR="003B10BD" w:rsidRDefault="003B10BD" w:rsidP="003B10BD">
      <w:pPr>
        <w:spacing w:line="360" w:lineRule="auto"/>
        <w:ind w:left="720" w:hanging="720"/>
        <w:jc w:val="both"/>
        <w:rPr>
          <w:noProof w:val="0"/>
          <w:rtl/>
        </w:rPr>
      </w:pPr>
      <w:r>
        <w:rPr>
          <w:noProof w:val="0"/>
          <w:rtl/>
        </w:rPr>
        <w:t>3.</w:t>
      </w:r>
      <w:r>
        <w:rPr>
          <w:noProof w:val="0"/>
          <w:rtl/>
        </w:rPr>
        <w:tab/>
        <w:t>המבקשת בבקשתה הנוכחית, טענה כי הוגשה תלונה למשטרת ישראל וכי צפויה להתקיים חקירת ילדים. לאחר שהתקיימה חקירת הילדים ובימ"ש זה עיין בתוצאות החקירה, התקיים דיון במעמד הצדדים ובו נקבע ביום 8.10.2024:</w:t>
      </w:r>
    </w:p>
    <w:p w:rsidR="003B10BD" w:rsidRDefault="003B10BD" w:rsidP="003B10BD">
      <w:pPr>
        <w:spacing w:line="360" w:lineRule="auto"/>
        <w:ind w:left="1440" w:hanging="720"/>
        <w:jc w:val="both"/>
        <w:rPr>
          <w:b/>
          <w:bCs/>
          <w:noProof w:val="0"/>
          <w:rtl/>
        </w:rPr>
      </w:pPr>
      <w:r>
        <w:rPr>
          <w:b/>
          <w:bCs/>
          <w:noProof w:val="0"/>
          <w:rtl/>
        </w:rPr>
        <w:t>"</w:t>
      </w:r>
      <w:r>
        <w:rPr>
          <w:b/>
          <w:bCs/>
          <w:noProof w:val="0"/>
          <w:rtl/>
        </w:rPr>
        <w:tab/>
      </w:r>
      <w:r>
        <w:rPr>
          <w:b/>
          <w:bCs/>
          <w:rtl/>
        </w:rPr>
        <w:t>ב"כ המבקשת והמבקשת עומדות על המשך בירור הבקשה וסבורני כי ככל שהן מבקשות לעמוד על בירור הבקשה, אכן יש מקום להידרש לתסקיר עו"ס לסדרי דין שכן סבורני שהנזק שנגרם לקטין כתוצאה מניהול ההליך, והנתקים מאביו, הוא נזק כבד לעתידו והתפתחותו של הקטין והמעורבות הטיפולית היא מחוייבת המציאות.</w:t>
      </w:r>
    </w:p>
    <w:p w:rsidR="003B10BD" w:rsidRDefault="003B10BD" w:rsidP="003B10BD">
      <w:pPr>
        <w:spacing w:line="360" w:lineRule="auto"/>
        <w:ind w:left="1440"/>
        <w:jc w:val="both"/>
        <w:rPr>
          <w:b/>
          <w:bCs/>
        </w:rPr>
      </w:pPr>
      <w:r>
        <w:rPr>
          <w:b/>
          <w:bCs/>
          <w:rtl/>
        </w:rPr>
        <w:t xml:space="preserve">מובהר כי בית המשפט מוצא כבר בשלב זה להורות על עריכת תסקיר וזאת לטובתו של הקטין ומתוך תקווה כי מעורבות טיפולית תסייע למבקשת להתנהל בצורה יותר מווסתת בכל הנוגע לקשר בין האב לקטין. </w:t>
      </w:r>
    </w:p>
    <w:p w:rsidR="003B10BD" w:rsidRDefault="003B10BD" w:rsidP="003B10BD">
      <w:pPr>
        <w:spacing w:line="360" w:lineRule="auto"/>
        <w:ind w:left="1440"/>
        <w:jc w:val="both"/>
        <w:rPr>
          <w:b/>
          <w:bCs/>
          <w:rtl/>
        </w:rPr>
      </w:pPr>
      <w:r>
        <w:rPr>
          <w:b/>
          <w:bCs/>
          <w:rtl/>
        </w:rPr>
        <w:t>לאחר שיוגש התסקיר, יורה ביהמ"ש על קבלת עמדת באות כח הצדדים ביחס לנחיצות קיום חקירות ביחס לאירועים שלמעשה כבר יש לגביהם חקירות והכרעת בית משפט."</w:t>
      </w:r>
    </w:p>
    <w:p w:rsidR="003B10BD" w:rsidRDefault="003B10BD" w:rsidP="003B10BD">
      <w:pPr>
        <w:spacing w:line="360" w:lineRule="auto"/>
        <w:jc w:val="both"/>
        <w:rPr>
          <w:rtl/>
        </w:rPr>
      </w:pPr>
      <w:r>
        <w:rPr>
          <w:rtl/>
        </w:rPr>
        <w:t>עוד נקבע בהחלטה לענין הקשר בין האב לקטין:</w:t>
      </w:r>
    </w:p>
    <w:p w:rsidR="003B10BD" w:rsidRDefault="003B10BD" w:rsidP="003B10BD">
      <w:pPr>
        <w:spacing w:line="360" w:lineRule="auto"/>
        <w:ind w:left="1440" w:hanging="720"/>
        <w:jc w:val="both"/>
        <w:rPr>
          <w:b/>
          <w:bCs/>
          <w:rtl/>
        </w:rPr>
      </w:pPr>
      <w:r>
        <w:rPr>
          <w:b/>
          <w:bCs/>
          <w:rtl/>
        </w:rPr>
        <w:t>"</w:t>
      </w:r>
      <w:r>
        <w:rPr>
          <w:b/>
          <w:bCs/>
          <w:rtl/>
        </w:rPr>
        <w:tab/>
        <w:t xml:space="preserve">מובהר כי אין כל מניעה על יסוד כל שהונח בפני ביהמ"ש, להמשך קיומו של הקשר בין האב לקטין ולמען הסר ספק, החלטתה של כב' השופטת דיאנה פסו ואגו עומדת </w:t>
      </w:r>
      <w:r>
        <w:rPr>
          <w:b/>
          <w:bCs/>
          <w:rtl/>
        </w:rPr>
        <w:lastRenderedPageBreak/>
        <w:t>על כנה ואין בבקשה שבכותרת כל נסיבות חדשות שיצדיקו דיון בה וטובתו של הקטין מחייבת את קיומם של זמני השהות שנקבעו.</w:t>
      </w:r>
      <w:r>
        <w:rPr>
          <w:b/>
          <w:bCs/>
          <w:rtl/>
        </w:rPr>
        <w:tab/>
        <w:t>"</w:t>
      </w:r>
    </w:p>
    <w:p w:rsidR="003B10BD" w:rsidRDefault="003B10BD" w:rsidP="003B10BD">
      <w:pPr>
        <w:spacing w:line="360" w:lineRule="auto"/>
        <w:ind w:left="720" w:hanging="720"/>
        <w:jc w:val="both"/>
        <w:rPr>
          <w:rFonts w:ascii="Arial" w:hAnsi="Arial"/>
          <w:b/>
          <w:bCs/>
          <w:noProof w:val="0"/>
          <w:u w:val="single"/>
          <w:rtl/>
        </w:rPr>
      </w:pPr>
      <w:r>
        <w:rPr>
          <w:rFonts w:ascii="Arial" w:hAnsi="Arial"/>
          <w:noProof w:val="0"/>
          <w:rtl/>
        </w:rPr>
        <w:t>4.</w:t>
      </w:r>
      <w:r>
        <w:rPr>
          <w:rFonts w:ascii="Arial" w:hAnsi="Arial"/>
          <w:noProof w:val="0"/>
          <w:rtl/>
        </w:rPr>
        <w:tab/>
        <w:t xml:space="preserve">ביום 17.11.24 הוגש תסקיר עו"ס חוק נוער . המלצות העו"ס מדברות בעד עצמן ולמעשה העו"ס בדומה לאמור בהחלטת ביהמ"ש בהליך הקודם </w:t>
      </w:r>
      <w:r>
        <w:rPr>
          <w:rFonts w:ascii="Arial" w:hAnsi="Arial"/>
          <w:b/>
          <w:bCs/>
          <w:noProof w:val="0"/>
          <w:u w:val="single"/>
          <w:rtl/>
        </w:rPr>
        <w:t>שוללת מסוכנות ש</w:t>
      </w:r>
      <w:r w:rsidR="003D1CB8">
        <w:rPr>
          <w:rFonts w:ascii="Arial" w:hAnsi="Arial"/>
          <w:b/>
          <w:bCs/>
          <w:noProof w:val="0"/>
          <w:u w:val="single"/>
          <w:rtl/>
        </w:rPr>
        <w:t xml:space="preserve">ל האב כלפי הקטין והעו"ס ממליצה </w:t>
      </w:r>
      <w:r>
        <w:rPr>
          <w:rFonts w:ascii="Arial" w:hAnsi="Arial"/>
          <w:b/>
          <w:bCs/>
          <w:noProof w:val="0"/>
          <w:u w:val="single"/>
          <w:rtl/>
        </w:rPr>
        <w:t>על הליך טיפולי לשני ההורים.</w:t>
      </w:r>
    </w:p>
    <w:p w:rsidR="003B10BD" w:rsidRDefault="003B10BD" w:rsidP="003B10BD">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לאחר עיון בתסקיר, ביהמ"ש הורה על הגשת התייחסות ההורים להמלצות הטיפוליות וכן הורה למבקשת להודיע האם עומדת על המשך בירור בקשתה, שעה שכזכור טענותיה כבר הוכרעו עובדתית לאחר חקירות והתסקיר הוזמן לצורך התייחסות למצבו של הקטין נוכח הסכסוך בין ההורים.</w:t>
      </w:r>
    </w:p>
    <w:p w:rsidR="003B10BD" w:rsidRDefault="003B10BD" w:rsidP="003B10BD">
      <w:pPr>
        <w:spacing w:line="360" w:lineRule="auto"/>
        <w:jc w:val="both"/>
        <w:rPr>
          <w:rFonts w:ascii="Arial" w:hAnsi="Arial"/>
          <w:noProof w:val="0"/>
          <w:rtl/>
        </w:rPr>
      </w:pPr>
      <w:r>
        <w:rPr>
          <w:rFonts w:ascii="Arial" w:hAnsi="Arial"/>
          <w:noProof w:val="0"/>
          <w:rtl/>
        </w:rPr>
        <w:t>6.</w:t>
      </w:r>
      <w:r>
        <w:rPr>
          <w:rFonts w:ascii="Arial" w:hAnsi="Arial"/>
          <w:noProof w:val="0"/>
          <w:rtl/>
        </w:rPr>
        <w:tab/>
        <w:t>האב הודיע כי מסכים להמלצות הטיפוליות.</w:t>
      </w:r>
    </w:p>
    <w:p w:rsidR="003B10BD" w:rsidRDefault="003B10BD" w:rsidP="003B10BD">
      <w:pPr>
        <w:spacing w:line="360" w:lineRule="auto"/>
        <w:ind w:left="720"/>
        <w:jc w:val="both"/>
        <w:rPr>
          <w:rFonts w:ascii="Arial" w:hAnsi="Arial"/>
          <w:noProof w:val="0"/>
          <w:rtl/>
        </w:rPr>
      </w:pPr>
      <w:r>
        <w:rPr>
          <w:rFonts w:ascii="Arial" w:hAnsi="Arial"/>
          <w:noProof w:val="0"/>
          <w:rtl/>
        </w:rPr>
        <w:t>האם הודיעה כי מסכימה להמלצות הטיפולית, אך למרות האמור בפסק דינה של כב' השופטת דיאנה פסו ואגו בהליך הקודם (פס"ד מיום 4.9.24) ולמרות האמור בתסקיר  שהוגש עומדת היא על ניהול ההליך ומבקשת לקיים חקירות וכן לזמן את העו"ס לחקירה.</w:t>
      </w:r>
    </w:p>
    <w:p w:rsidR="003B10BD" w:rsidRDefault="003B10BD" w:rsidP="003B10BD">
      <w:pPr>
        <w:spacing w:line="360" w:lineRule="auto"/>
        <w:ind w:left="720" w:hanging="720"/>
        <w:jc w:val="both"/>
        <w:rPr>
          <w:rFonts w:ascii="Arial" w:hAnsi="Arial"/>
          <w:noProof w:val="0"/>
          <w:u w:val="single"/>
          <w:rtl/>
        </w:rPr>
      </w:pPr>
      <w:r>
        <w:rPr>
          <w:rFonts w:ascii="Arial" w:hAnsi="Arial"/>
          <w:noProof w:val="0"/>
          <w:rtl/>
        </w:rPr>
        <w:t>7.</w:t>
      </w:r>
      <w:r>
        <w:rPr>
          <w:rFonts w:ascii="Arial" w:hAnsi="Arial"/>
          <w:noProof w:val="0"/>
          <w:rtl/>
        </w:rPr>
        <w:tab/>
        <w:t xml:space="preserve">נוכח העובדה שביהמ"ש כבר הכריע ופסק בטענות זהות נראה כי יש הכרח בענייננו לפעול בהתאם להוראות </w:t>
      </w:r>
      <w:r>
        <w:rPr>
          <w:rFonts w:ascii="Arial" w:hAnsi="Arial"/>
          <w:noProof w:val="0"/>
          <w:u w:val="single"/>
          <w:rtl/>
        </w:rPr>
        <w:t>תקנה 157 לתקנות סדר הדין האזרחי תשע"ט-2018, שכן נראה כי סיכויי הבקשה להתקבל נמוכים ביותר שעה שכבר התבררו טיעוניה וטענותיה של המבקשת והתקיים דיון הוכחות ב 4.9.2024 ובקשתה הנוכחית נשענת על אותן טענות ואותן ראיות.</w:t>
      </w:r>
    </w:p>
    <w:p w:rsidR="003B10BD" w:rsidRDefault="003B10BD" w:rsidP="003B10BD">
      <w:pPr>
        <w:spacing w:line="360" w:lineRule="auto"/>
        <w:ind w:left="720" w:hanging="720"/>
        <w:jc w:val="both"/>
        <w:rPr>
          <w:rFonts w:ascii="Arial" w:hAnsi="Arial"/>
          <w:b/>
          <w:bCs/>
          <w:noProof w:val="0"/>
          <w:u w:val="single"/>
          <w:rtl/>
        </w:rPr>
      </w:pPr>
      <w:r>
        <w:rPr>
          <w:rFonts w:ascii="Arial" w:hAnsi="Arial"/>
          <w:noProof w:val="0"/>
          <w:rtl/>
        </w:rPr>
        <w:t>8.</w:t>
      </w:r>
      <w:r>
        <w:rPr>
          <w:rFonts w:ascii="Arial" w:hAnsi="Arial"/>
          <w:noProof w:val="0"/>
          <w:rtl/>
        </w:rPr>
        <w:tab/>
      </w:r>
      <w:r>
        <w:rPr>
          <w:rFonts w:ascii="Arial" w:hAnsi="Arial"/>
          <w:b/>
          <w:bCs/>
          <w:noProof w:val="0"/>
          <w:u w:val="single"/>
          <w:rtl/>
        </w:rPr>
        <w:t>בהמשך לאמור וככל שהמבקשת עומדת על בירור חוזר של בקשתה, עליה להפקיד בקופת ביהמ"ש ערובה להבטחת הוצאות המשיב והוצאות קופת אוצר המדינה וזאת בסך של 15,000 ₪, בתוך 14 ימים.</w:t>
      </w:r>
    </w:p>
    <w:p w:rsidR="003B10BD" w:rsidRDefault="003B10BD" w:rsidP="003B10BD">
      <w:pPr>
        <w:spacing w:line="360" w:lineRule="auto"/>
        <w:ind w:firstLine="720"/>
        <w:jc w:val="both"/>
        <w:rPr>
          <w:rFonts w:ascii="Arial" w:hAnsi="Arial"/>
          <w:noProof w:val="0"/>
          <w:rtl/>
        </w:rPr>
      </w:pPr>
      <w:r>
        <w:rPr>
          <w:rFonts w:ascii="Arial" w:hAnsi="Arial"/>
          <w:noProof w:val="0"/>
          <w:rtl/>
        </w:rPr>
        <w:t>עם הפקדת הסכום ייקבע מועד לשמיעת הראיות.</w:t>
      </w:r>
    </w:p>
    <w:p w:rsidR="003B10BD" w:rsidRDefault="003B10BD" w:rsidP="003B10BD">
      <w:pPr>
        <w:spacing w:line="360" w:lineRule="auto"/>
        <w:ind w:firstLine="720"/>
        <w:jc w:val="both"/>
        <w:rPr>
          <w:rFonts w:ascii="Arial" w:hAnsi="Arial"/>
          <w:noProof w:val="0"/>
          <w:rtl/>
        </w:rPr>
      </w:pPr>
      <w:r>
        <w:rPr>
          <w:rFonts w:ascii="Arial" w:hAnsi="Arial"/>
          <w:noProof w:val="0"/>
          <w:rtl/>
        </w:rPr>
        <w:t>ככל שלא תופקד הערובה יורה ביהמ"ש על מחיקת התובענה.</w:t>
      </w:r>
    </w:p>
    <w:p w:rsidR="003B10BD" w:rsidRDefault="003B10BD" w:rsidP="003B10BD">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בכל הנוגע להליך הטיפולי עליו המליצה עו"ס חוק נוער, ונוכח מצבו הנפשי של הקטין בשל חשיפתו לסכסוך בין הוריו אני מחייבת את שני ההורים לפעול בהתאם להנחיות עו"ס חוק נוער הגב' אמונה .</w:t>
      </w:r>
    </w:p>
    <w:p w:rsidR="003B10BD" w:rsidRDefault="003B10BD" w:rsidP="003B10BD">
      <w:pPr>
        <w:spacing w:line="360" w:lineRule="auto"/>
        <w:ind w:firstLine="720"/>
        <w:jc w:val="both"/>
        <w:rPr>
          <w:rFonts w:ascii="Arial" w:hAnsi="Arial"/>
          <w:noProof w:val="0"/>
          <w:rtl/>
        </w:rPr>
      </w:pPr>
      <w:r>
        <w:rPr>
          <w:rFonts w:ascii="Arial" w:hAnsi="Arial"/>
          <w:b/>
          <w:bCs/>
          <w:noProof w:val="0"/>
          <w:u w:val="single"/>
          <w:rtl/>
        </w:rPr>
        <w:t>שני הצדדים יצרו קשר עם עו"ס חוק נוער וזאת בתוך 3 ימים</w:t>
      </w:r>
      <w:r>
        <w:rPr>
          <w:rFonts w:ascii="Arial" w:hAnsi="Arial"/>
          <w:noProof w:val="0"/>
          <w:rtl/>
        </w:rPr>
        <w:t>.</w:t>
      </w:r>
    </w:p>
    <w:p w:rsidR="003B10BD" w:rsidRDefault="003B10BD" w:rsidP="003B10BD">
      <w:pPr>
        <w:spacing w:line="360" w:lineRule="auto"/>
        <w:jc w:val="both"/>
        <w:rPr>
          <w:rFonts w:ascii="Arial" w:hAnsi="Arial"/>
          <w:noProof w:val="0"/>
          <w:rtl/>
        </w:rPr>
      </w:pPr>
      <w:r>
        <w:rPr>
          <w:rFonts w:ascii="Arial" w:hAnsi="Arial"/>
          <w:noProof w:val="0"/>
          <w:rtl/>
        </w:rPr>
        <w:t>10.</w:t>
      </w:r>
      <w:r>
        <w:rPr>
          <w:rFonts w:ascii="Arial" w:hAnsi="Arial"/>
          <w:noProof w:val="0"/>
          <w:rtl/>
        </w:rPr>
        <w:tab/>
        <w:t>מתירה העברה למאגרי פסיקה בהשמטת פרטים מזהים.</w:t>
      </w:r>
    </w:p>
    <w:p w:rsidR="003B10BD" w:rsidRDefault="003B10BD" w:rsidP="003B10BD">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המזכירות תשלח ההחלטה לצדדים ולעו"ס חוק נוער ותקבע תזכורת מעקב לענין הפקדת הערובה כאמור בהחלטתי זו.</w:t>
      </w:r>
    </w:p>
    <w:p w:rsidR="003B10BD" w:rsidRDefault="003B10BD" w:rsidP="003B10BD">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ו'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דצמבר 2024</w:t>
          </w:r>
        </w:sdtContent>
      </w:sdt>
      <w:r>
        <w:rPr>
          <w:rFonts w:ascii="Arial" w:hAnsi="Arial"/>
          <w:noProof w:val="0"/>
          <w:rtl/>
        </w:rPr>
        <w:t>, בהעדר הצדדים.</w:t>
      </w:r>
    </w:p>
    <w:p w:rsidR="003B10BD" w:rsidRDefault="003B10BD" w:rsidP="003B10BD">
      <w:pPr>
        <w:tabs>
          <w:tab w:val="left" w:pos="2553"/>
        </w:tabs>
      </w:pPr>
      <w:r>
        <w:rPr>
          <w:rtl/>
        </w:rPr>
        <w:tab/>
      </w:r>
      <w:r>
        <w:rPr>
          <w:rtl/>
        </w:rPr>
        <w:tab/>
      </w:r>
      <w:r>
        <w:rPr>
          <w:rtl/>
        </w:rPr>
        <w:tab/>
        <w:t xml:space="preserve">        </w:t>
      </w:r>
      <w:sdt>
        <w:sdtPr>
          <w:rPr>
            <w:rtl/>
          </w:rPr>
          <w:alias w:val="MergeField"/>
          <w:tag w:val="1237"/>
          <w:id w:val="-823895740"/>
        </w:sdtPr>
        <w:sdtEndPr/>
        <w:sdtContent>
          <w:r w:rsidR="009F65AC">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2362200" cy="476249"/>
                        </a:xfrm>
                        <a:prstGeom prst="rect">
                          <a:avLst/>
                        </a:prstGeom>
                      </pic:spPr>
                    </pic:pic>
                  </a:graphicData>
                </a:graphic>
              </wp:inline>
            </w:drawing>
          </w:r>
        </w:sdtContent>
      </w:sdt>
    </w:p>
    <w:p w:rsidR="003B10BD" w:rsidRDefault="003B10BD" w:rsidP="003B10BD">
      <w:pPr>
        <w:tabs>
          <w:tab w:val="left" w:pos="2553"/>
        </w:tabs>
        <w:rPr>
          <w:rtl/>
        </w:rPr>
      </w:pPr>
    </w:p>
    <w:p w:rsidR="003B10BD" w:rsidRDefault="003B10BD" w:rsidP="003B10BD">
      <w:pPr>
        <w:tabs>
          <w:tab w:val="left" w:pos="2553"/>
        </w:tabs>
        <w:rPr>
          <w:rFonts w:ascii="Arial" w:hAnsi="Arial"/>
          <w:noProof w:val="0"/>
        </w:rPr>
      </w:pPr>
    </w:p>
    <w:p w:rsidR="00694556" w:rsidRPr="003B10BD" w:rsidRDefault="00694556" w:rsidP="003B10BD">
      <w:pPr>
        <w:rPr>
          <w:rtl/>
        </w:rPr>
      </w:pPr>
    </w:p>
    <w:sectPr w:rsidR="00694556" w:rsidRPr="003B10BD"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886" w:rsidRDefault="00E37886">
      <w:r>
        <w:separator/>
      </w:r>
    </w:p>
  </w:endnote>
  <w:endnote w:type="continuationSeparator" w:id="0">
    <w:p w:rsidR="00E37886" w:rsidRDefault="00E3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3788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3788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886" w:rsidRDefault="00E37886">
      <w:r>
        <w:separator/>
      </w:r>
    </w:p>
  </w:footnote>
  <w:footnote w:type="continuationSeparator" w:id="0">
    <w:p w:rsidR="00E37886" w:rsidRDefault="00E3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Tr="003B10BD">
      <w:trPr>
        <w:trHeight w:val="99"/>
        <w:jc w:val="center"/>
      </w:trPr>
      <w:tc>
        <w:tcPr>
          <w:tcW w:w="8721" w:type="dxa"/>
          <w:gridSpan w:val="2"/>
        </w:tcPr>
        <w:p w:rsidR="007D45E3" w:rsidRDefault="00E37886" w:rsidP="003D1CB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70591-09-24</w:t>
              </w:r>
            </w:sdtContent>
          </w:sdt>
          <w:r w:rsidR="00005C8B">
            <w:rPr>
              <w:b/>
              <w:bCs/>
              <w:noProof w:val="0"/>
              <w:sz w:val="26"/>
              <w:szCs w:val="26"/>
              <w:rtl/>
            </w:rPr>
            <w:t xml:space="preserve"> </w:t>
          </w:r>
          <w:sdt>
            <w:sdtPr>
              <w:rPr>
                <w:rtl/>
              </w:rPr>
              <w:alias w:val="1172"/>
              <w:tag w:val="1172"/>
              <w:id w:val="-595170033"/>
              <w:text w:multiLine="1"/>
            </w:sdtPr>
            <w:sdtEndPr/>
            <w:sdtContent>
              <w:r w:rsidR="003D1CB8">
                <w:rPr>
                  <w:rFonts w:hint="cs"/>
                  <w:b/>
                  <w:bCs/>
                  <w:noProof w:val="0"/>
                  <w:sz w:val="26"/>
                  <w:szCs w:val="26"/>
                  <w:rtl/>
                </w:rPr>
                <w:t>פלונית</w:t>
              </w:r>
              <w:r w:rsidR="00064651">
                <w:rPr>
                  <w:b/>
                  <w:bCs/>
                  <w:noProof w:val="0"/>
                  <w:sz w:val="26"/>
                  <w:szCs w:val="26"/>
                  <w:rtl/>
                </w:rPr>
                <w:t xml:space="preserve"> נ' </w:t>
              </w:r>
              <w:r w:rsidR="003D1CB8">
                <w:rPr>
                  <w:rFonts w:hint="cs"/>
                  <w:b/>
                  <w:bCs/>
                  <w:noProof w:val="0"/>
                  <w:sz w:val="26"/>
                  <w:szCs w:val="26"/>
                  <w:rtl/>
                </w:rPr>
                <w:t>פלוני</w:t>
              </w:r>
            </w:sdtContent>
          </w:sdt>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B10BD"/>
    <w:rsid w:val="003D1C8C"/>
    <w:rsid w:val="003D1CB8"/>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6D1D"/>
    <w:rsid w:val="00547DB7"/>
    <w:rsid w:val="005F4F09"/>
    <w:rsid w:val="0061431B"/>
    <w:rsid w:val="00622BAA"/>
    <w:rsid w:val="006306CF"/>
    <w:rsid w:val="00644E9A"/>
    <w:rsid w:val="00671BD5"/>
    <w:rsid w:val="006767AC"/>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63360"/>
    <w:rsid w:val="007722BE"/>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9F65A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37886"/>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8864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2879</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2024-12-08T08:33:00Z</dcterms:created>
  <dcterms:modified xsi:type="dcterms:W3CDTF">2024-12-08T08:33:00Z</dcterms:modified>
</cp:coreProperties>
</file>